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CDB6C" w14:textId="77777777" w:rsidR="00F04316" w:rsidRDefault="0027308F" w:rsidP="00960599">
      <w:pPr>
        <w:pStyle w:val="Title"/>
        <w:jc w:val="center"/>
        <w:outlineLvl w:val="0"/>
        <w:rPr>
          <w:rFonts w:ascii="Arial" w:hAnsi="Arial" w:cs="Arial"/>
        </w:rPr>
      </w:pPr>
      <w:r>
        <w:rPr>
          <w:rFonts w:ascii="Arial" w:hAnsi="Arial" w:cs="Arial"/>
        </w:rPr>
        <w:t>Ticket to Work</w:t>
      </w:r>
    </w:p>
    <w:p w14:paraId="13FA7024" w14:textId="77777777" w:rsidR="00D2357F" w:rsidRPr="00D2357F" w:rsidRDefault="00415919" w:rsidP="00D2357F">
      <w:pPr>
        <w:pStyle w:val="Title"/>
        <w:jc w:val="center"/>
        <w:outlineLvl w:val="0"/>
        <w:rPr>
          <w:rFonts w:ascii="Arial" w:hAnsi="Arial" w:cs="Arial"/>
          <w:sz w:val="32"/>
          <w:szCs w:val="32"/>
        </w:rPr>
      </w:pPr>
      <w:r>
        <w:rPr>
          <w:rFonts w:ascii="Arial" w:hAnsi="Arial" w:cs="Arial"/>
          <w:sz w:val="32"/>
          <w:szCs w:val="32"/>
        </w:rPr>
        <w:t>Medical Continuing Disability Reviews</w:t>
      </w:r>
    </w:p>
    <w:p w14:paraId="09ACC782" w14:textId="77777777" w:rsidR="00705441" w:rsidRDefault="0027308F" w:rsidP="00436E40">
      <w:pPr>
        <w:pStyle w:val="Heading1"/>
      </w:pPr>
      <w:r>
        <w:t>What are they?</w:t>
      </w:r>
    </w:p>
    <w:p w14:paraId="446E8312" w14:textId="77777777" w:rsidR="0009415D" w:rsidRDefault="0009415D" w:rsidP="0009415D">
      <w:r>
        <w:t xml:space="preserve">Social Security Administration (SSA) performs medical Continuing Disability Reviews (CDRs) periodically when consumers receive Supplemental Security Income (SSI) and/or Social Security Disability Insurance (SSDI). They do this to see if a consumer’s disability has medically improved and to determine if they continue to be eligible for benefits. </w:t>
      </w:r>
    </w:p>
    <w:p w14:paraId="5EA70FE5" w14:textId="77777777" w:rsidR="0009415D" w:rsidRDefault="0009415D" w:rsidP="0009415D">
      <w:r>
        <w:t>Medical CDRs are performed every 1, 3, 5, 7 or more years depending on the likelihood of a person’s disability improving, according to SSA.</w:t>
      </w:r>
    </w:p>
    <w:p w14:paraId="4A19B389" w14:textId="77777777" w:rsidR="0009415D" w:rsidRDefault="0009415D" w:rsidP="0009415D">
      <w:pPr>
        <w:pStyle w:val="Heading1"/>
      </w:pPr>
      <w:r>
        <w:t>How do they work?</w:t>
      </w:r>
    </w:p>
    <w:p w14:paraId="57096576" w14:textId="2D468DE3" w:rsidR="00FC1A71" w:rsidRDefault="00FC1A71" w:rsidP="0009415D">
      <w:r>
        <w:t>While consumers have their Ticket to Work (TTW)</w:t>
      </w:r>
      <w:r w:rsidR="0009415D">
        <w:t xml:space="preserve"> In-Use with a State Vocational Rehabilitation (VR) Agency or assigned to an Employment Network (EN), SSA will excuse them from medical CDRs so long as they’re meeting SSA’s guidelines for making timely progress towards employment. </w:t>
      </w:r>
    </w:p>
    <w:p w14:paraId="1E863FC7" w14:textId="77777777" w:rsidR="0009415D" w:rsidRDefault="00FC1A71" w:rsidP="00FC1A71">
      <w:pPr>
        <w:spacing w:before="120"/>
      </w:pPr>
      <w:r>
        <w:t xml:space="preserve">See the Timely Progress Review (TPR) Fact Sheet for more information. </w:t>
      </w:r>
    </w:p>
    <w:p w14:paraId="1F497BF4" w14:textId="77777777" w:rsidR="00FC1A71" w:rsidRDefault="00FC1A71" w:rsidP="00FC1A71">
      <w:pPr>
        <w:pStyle w:val="Heading1"/>
      </w:pPr>
      <w:r>
        <w:t>Why are they important?</w:t>
      </w:r>
    </w:p>
    <w:p w14:paraId="6124FE21" w14:textId="77777777" w:rsidR="00FC1A71" w:rsidRDefault="00FC1A71" w:rsidP="00FC1A71">
      <w:pPr>
        <w:spacing w:before="120"/>
      </w:pPr>
      <w:r>
        <w:t>Medical CDRs often create a lot of anxiety for consumers! Medical CDR suspension is an important benefit of the TTW program, so it’s important to ensure consumers understand the TTW program and TPRs.</w:t>
      </w:r>
    </w:p>
    <w:p w14:paraId="6336248F" w14:textId="77777777" w:rsidR="0009415D" w:rsidRPr="00FF27FA" w:rsidRDefault="0009415D" w:rsidP="00FC1A71">
      <w:pPr>
        <w:spacing w:before="120"/>
      </w:pPr>
      <w:r w:rsidRPr="00FF27FA">
        <w:t xml:space="preserve">There can be situations where a consumer may have a medical CDR </w:t>
      </w:r>
      <w:r>
        <w:t>initiated while their TTW is In-</w:t>
      </w:r>
      <w:r w:rsidRPr="00FF27FA">
        <w:t>Use with DOR or assigned to an EN:</w:t>
      </w:r>
    </w:p>
    <w:p w14:paraId="2F25635B" w14:textId="77777777" w:rsidR="0009415D" w:rsidRPr="00FF27FA" w:rsidRDefault="0009415D" w:rsidP="0009415D">
      <w:pPr>
        <w:pStyle w:val="ListParagraph"/>
        <w:numPr>
          <w:ilvl w:val="0"/>
          <w:numId w:val="24"/>
        </w:numPr>
        <w:contextualSpacing w:val="0"/>
      </w:pPr>
      <w:r w:rsidRPr="00FF27FA">
        <w:t>The consum</w:t>
      </w:r>
      <w:r>
        <w:t xml:space="preserve">er did not pass a Timely Progress Review (TPR), </w:t>
      </w:r>
      <w:r w:rsidRPr="00FF27FA">
        <w:t>or</w:t>
      </w:r>
    </w:p>
    <w:p w14:paraId="486178FE" w14:textId="77777777" w:rsidR="0009415D" w:rsidRPr="00FC1A71" w:rsidRDefault="00FC1A71" w:rsidP="0009415D">
      <w:pPr>
        <w:pStyle w:val="ListParagraph"/>
        <w:numPr>
          <w:ilvl w:val="0"/>
          <w:numId w:val="24"/>
        </w:numPr>
        <w:contextualSpacing w:val="0"/>
        <w:rPr>
          <w:rFonts w:cs="Arial"/>
          <w:szCs w:val="28"/>
        </w:rPr>
      </w:pPr>
      <w:r>
        <w:t>The medical CDR</w:t>
      </w:r>
      <w:r w:rsidR="0009415D" w:rsidRPr="00FF27FA">
        <w:t xml:space="preserve"> </w:t>
      </w:r>
      <w:r w:rsidR="008875CA">
        <w:t>was</w:t>
      </w:r>
      <w:r w:rsidR="0009415D" w:rsidRPr="00FF27FA">
        <w:t xml:space="preserve"> init</w:t>
      </w:r>
      <w:r w:rsidR="008875CA">
        <w:t>iated before the TTW was put In-</w:t>
      </w:r>
      <w:r w:rsidR="0009415D" w:rsidRPr="00FF27FA">
        <w:t>Use w</w:t>
      </w:r>
      <w:r w:rsidR="008875CA">
        <w:t>ith DOR (or assigned to an EN). I</w:t>
      </w:r>
      <w:r w:rsidR="0009415D" w:rsidRPr="00FF27FA">
        <w:t>f this oc</w:t>
      </w:r>
      <w:r w:rsidR="008875CA">
        <w:t>curs the medical CDR may proceed</w:t>
      </w:r>
    </w:p>
    <w:p w14:paraId="5E6B876E" w14:textId="77777777" w:rsidR="00FC1A71" w:rsidRPr="00FF27FA" w:rsidRDefault="00FC1A71" w:rsidP="0009415D">
      <w:pPr>
        <w:pStyle w:val="ListParagraph"/>
        <w:numPr>
          <w:ilvl w:val="0"/>
          <w:numId w:val="24"/>
        </w:numPr>
        <w:contextualSpacing w:val="0"/>
        <w:rPr>
          <w:rFonts w:cs="Arial"/>
          <w:szCs w:val="28"/>
        </w:rPr>
      </w:pPr>
      <w:r>
        <w:rPr>
          <w:rFonts w:cs="Arial"/>
          <w:szCs w:val="28"/>
        </w:rPr>
        <w:t>Occasionally, medical CDRs may be initiated in error. Contact Social Security Programs Section (SSPS) for more information.</w:t>
      </w:r>
    </w:p>
    <w:p w14:paraId="5E377B06" w14:textId="77777777" w:rsidR="0009415D" w:rsidRPr="00FF27FA" w:rsidRDefault="0009415D" w:rsidP="0009415D">
      <w:pPr>
        <w:rPr>
          <w:rFonts w:cs="Arial"/>
          <w:szCs w:val="28"/>
        </w:rPr>
      </w:pPr>
    </w:p>
    <w:p w14:paraId="11777CE2" w14:textId="77777777" w:rsidR="0009415D" w:rsidRPr="00FF27FA" w:rsidRDefault="0009415D" w:rsidP="0009415D">
      <w:pPr>
        <w:rPr>
          <w:rFonts w:cs="Arial"/>
          <w:bCs/>
          <w:color w:val="333333"/>
          <w:szCs w:val="28"/>
        </w:rPr>
      </w:pPr>
      <w:r w:rsidRPr="00FF27FA">
        <w:rPr>
          <w:rFonts w:cs="Arial"/>
          <w:color w:val="333333"/>
          <w:szCs w:val="28"/>
        </w:rPr>
        <w:t xml:space="preserve">See POMS </w:t>
      </w:r>
      <w:r w:rsidRPr="00FF27FA">
        <w:rPr>
          <w:rFonts w:cs="Arial"/>
          <w:bCs/>
          <w:color w:val="333333"/>
          <w:szCs w:val="28"/>
        </w:rPr>
        <w:t xml:space="preserve">DI 55050.010 Handling General Questions About Continuing Disability Reviews (CDRs) And Ticket Use: </w:t>
      </w:r>
      <w:hyperlink r:id="rId8" w:history="1">
        <w:r w:rsidRPr="00FF27FA">
          <w:rPr>
            <w:rStyle w:val="Hyperlink"/>
            <w:rFonts w:cs="Arial"/>
            <w:bCs/>
            <w:szCs w:val="28"/>
          </w:rPr>
          <w:t>https://secure.ssa.gov/apps10/poms.nsf/lnx/0455050010</w:t>
        </w:r>
      </w:hyperlink>
    </w:p>
    <w:p w14:paraId="2FFEAC90" w14:textId="77777777" w:rsidR="00436E40" w:rsidRPr="00436E40" w:rsidRDefault="00436E40" w:rsidP="00436E40">
      <w:pPr>
        <w:tabs>
          <w:tab w:val="left" w:pos="720"/>
          <w:tab w:val="left" w:pos="900"/>
        </w:tabs>
        <w:ind w:right="-396"/>
        <w:rPr>
          <w:rFonts w:cs="Arial"/>
          <w:bCs/>
          <w:szCs w:val="28"/>
        </w:rPr>
      </w:pPr>
    </w:p>
    <w:sectPr w:rsidR="00436E40" w:rsidRPr="00436E40" w:rsidSect="00EC19C5">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6D66A" w14:textId="77777777" w:rsidR="00504591" w:rsidRDefault="00504591" w:rsidP="00EC19C5">
      <w:r>
        <w:separator/>
      </w:r>
    </w:p>
  </w:endnote>
  <w:endnote w:type="continuationSeparator" w:id="0">
    <w:p w14:paraId="63C8F213" w14:textId="77777777" w:rsidR="00504591" w:rsidRDefault="00504591" w:rsidP="00EC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6F90" w14:textId="77777777" w:rsidR="00B81881" w:rsidRDefault="00B81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E1FDA" w14:textId="21791B71" w:rsidR="00EC19C5" w:rsidRPr="00EC19C5" w:rsidRDefault="00EC19C5">
    <w:pPr>
      <w:pStyle w:val="Footer"/>
      <w:rPr>
        <w:rFonts w:cs="Arial"/>
        <w:color w:val="000000" w:themeColor="text1"/>
      </w:rPr>
    </w:pPr>
  </w:p>
  <w:p w14:paraId="4C08D033" w14:textId="6CD0524A" w:rsidR="00EC19C5" w:rsidRDefault="00EC19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14DE" w14:textId="77777777" w:rsidR="00B81881" w:rsidRDefault="00B81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6AA60" w14:textId="77777777" w:rsidR="00504591" w:rsidRDefault="00504591" w:rsidP="00EC19C5">
      <w:r>
        <w:separator/>
      </w:r>
    </w:p>
  </w:footnote>
  <w:footnote w:type="continuationSeparator" w:id="0">
    <w:p w14:paraId="74A75149" w14:textId="77777777" w:rsidR="00504591" w:rsidRDefault="00504591" w:rsidP="00EC1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BBF97" w14:textId="77777777" w:rsidR="00B81881" w:rsidRDefault="00B81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994A4" w14:textId="77777777" w:rsidR="00B81881" w:rsidRDefault="00B818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75E1F" w14:textId="77777777" w:rsidR="00B81881" w:rsidRDefault="00B81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DFECE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6397C"/>
    <w:multiLevelType w:val="hybridMultilevel"/>
    <w:tmpl w:val="1CD8F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52683"/>
    <w:multiLevelType w:val="hybridMultilevel"/>
    <w:tmpl w:val="349A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D33E9"/>
    <w:multiLevelType w:val="hybridMultilevel"/>
    <w:tmpl w:val="4E2C4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D60E3"/>
    <w:multiLevelType w:val="hybridMultilevel"/>
    <w:tmpl w:val="FB76A124"/>
    <w:lvl w:ilvl="0" w:tplc="04090001">
      <w:start w:val="1"/>
      <w:numFmt w:val="bullet"/>
      <w:lvlText w:val=""/>
      <w:lvlJc w:val="left"/>
      <w:pPr>
        <w:ind w:left="720" w:hanging="360"/>
      </w:pPr>
      <w:rPr>
        <w:rFonts w:ascii="Symbol" w:hAnsi="Symbol" w:hint="default"/>
      </w:rPr>
    </w:lvl>
    <w:lvl w:ilvl="1" w:tplc="810E7A52">
      <w:numFmt w:val="bullet"/>
      <w:lvlText w:val="•"/>
      <w:lvlJc w:val="left"/>
      <w:pPr>
        <w:ind w:left="1440" w:hanging="360"/>
      </w:pPr>
      <w:rPr>
        <w:rFonts w:ascii="Arial" w:eastAsia="Times New Roman" w:hAnsi="Arial"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0601C"/>
    <w:multiLevelType w:val="hybridMultilevel"/>
    <w:tmpl w:val="B4603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1769E"/>
    <w:multiLevelType w:val="hybridMultilevel"/>
    <w:tmpl w:val="9EA2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87605"/>
    <w:multiLevelType w:val="hybridMultilevel"/>
    <w:tmpl w:val="EDA2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A085A"/>
    <w:multiLevelType w:val="hybridMultilevel"/>
    <w:tmpl w:val="2FBCC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28963FD"/>
    <w:multiLevelType w:val="hybridMultilevel"/>
    <w:tmpl w:val="5E626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133C33"/>
    <w:multiLevelType w:val="hybridMultilevel"/>
    <w:tmpl w:val="3C6A3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60800"/>
    <w:multiLevelType w:val="hybridMultilevel"/>
    <w:tmpl w:val="3D987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749729B"/>
    <w:multiLevelType w:val="hybridMultilevel"/>
    <w:tmpl w:val="0F8EF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407C4"/>
    <w:multiLevelType w:val="hybridMultilevel"/>
    <w:tmpl w:val="297AA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932700"/>
    <w:multiLevelType w:val="hybridMultilevel"/>
    <w:tmpl w:val="D8EA2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1B7722"/>
    <w:multiLevelType w:val="hybridMultilevel"/>
    <w:tmpl w:val="2C42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E4470"/>
    <w:multiLevelType w:val="hybridMultilevel"/>
    <w:tmpl w:val="78DA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611921"/>
    <w:multiLevelType w:val="hybridMultilevel"/>
    <w:tmpl w:val="9FE6A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93131F"/>
    <w:multiLevelType w:val="hybridMultilevel"/>
    <w:tmpl w:val="870C6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C623BF9"/>
    <w:multiLevelType w:val="hybridMultilevel"/>
    <w:tmpl w:val="F3523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A54E09"/>
    <w:multiLevelType w:val="hybridMultilevel"/>
    <w:tmpl w:val="CFDE2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7D7CAA"/>
    <w:multiLevelType w:val="hybridMultilevel"/>
    <w:tmpl w:val="8CB0A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C60761"/>
    <w:multiLevelType w:val="hybridMultilevel"/>
    <w:tmpl w:val="8B08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E646D1"/>
    <w:multiLevelType w:val="hybridMultilevel"/>
    <w:tmpl w:val="25A47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0894175">
    <w:abstractNumId w:val="14"/>
  </w:num>
  <w:num w:numId="2" w16cid:durableId="1214391468">
    <w:abstractNumId w:val="10"/>
  </w:num>
  <w:num w:numId="3" w16cid:durableId="1505241564">
    <w:abstractNumId w:val="20"/>
  </w:num>
  <w:num w:numId="4" w16cid:durableId="807163826">
    <w:abstractNumId w:val="0"/>
  </w:num>
  <w:num w:numId="5" w16cid:durableId="749885887">
    <w:abstractNumId w:val="12"/>
  </w:num>
  <w:num w:numId="6" w16cid:durableId="17339674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6046309">
    <w:abstractNumId w:val="18"/>
  </w:num>
  <w:num w:numId="8" w16cid:durableId="1368023576">
    <w:abstractNumId w:val="6"/>
  </w:num>
  <w:num w:numId="9" w16cid:durableId="1461730782">
    <w:abstractNumId w:val="4"/>
  </w:num>
  <w:num w:numId="10" w16cid:durableId="1079408612">
    <w:abstractNumId w:val="17"/>
  </w:num>
  <w:num w:numId="11" w16cid:durableId="2095278821">
    <w:abstractNumId w:val="22"/>
  </w:num>
  <w:num w:numId="12" w16cid:durableId="1475371242">
    <w:abstractNumId w:val="1"/>
  </w:num>
  <w:num w:numId="13" w16cid:durableId="44182571">
    <w:abstractNumId w:val="19"/>
  </w:num>
  <w:num w:numId="14" w16cid:durableId="1909656060">
    <w:abstractNumId w:val="15"/>
  </w:num>
  <w:num w:numId="15" w16cid:durableId="326179273">
    <w:abstractNumId w:val="5"/>
  </w:num>
  <w:num w:numId="16" w16cid:durableId="1824810641">
    <w:abstractNumId w:val="2"/>
  </w:num>
  <w:num w:numId="17" w16cid:durableId="1693220749">
    <w:abstractNumId w:val="9"/>
  </w:num>
  <w:num w:numId="18" w16cid:durableId="1405840257">
    <w:abstractNumId w:val="7"/>
  </w:num>
  <w:num w:numId="19" w16cid:durableId="464663411">
    <w:abstractNumId w:val="3"/>
  </w:num>
  <w:num w:numId="20" w16cid:durableId="267734490">
    <w:abstractNumId w:val="16"/>
  </w:num>
  <w:num w:numId="21" w16cid:durableId="1780569395">
    <w:abstractNumId w:val="21"/>
  </w:num>
  <w:num w:numId="22" w16cid:durableId="1204094687">
    <w:abstractNumId w:val="13"/>
  </w:num>
  <w:num w:numId="23" w16cid:durableId="587425058">
    <w:abstractNumId w:val="23"/>
  </w:num>
  <w:num w:numId="24" w16cid:durableId="319117788">
    <w:abstractNumId w:val="11"/>
  </w:num>
  <w:num w:numId="25" w16cid:durableId="13403467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19C5"/>
    <w:rsid w:val="00010F49"/>
    <w:rsid w:val="00023893"/>
    <w:rsid w:val="000328AF"/>
    <w:rsid w:val="000509D7"/>
    <w:rsid w:val="0009415D"/>
    <w:rsid w:val="000A6913"/>
    <w:rsid w:val="00135C5E"/>
    <w:rsid w:val="00192BB5"/>
    <w:rsid w:val="00200A10"/>
    <w:rsid w:val="0027308F"/>
    <w:rsid w:val="00306838"/>
    <w:rsid w:val="003479C2"/>
    <w:rsid w:val="00415919"/>
    <w:rsid w:val="00436599"/>
    <w:rsid w:val="00436E40"/>
    <w:rsid w:val="00452A8B"/>
    <w:rsid w:val="004A43B8"/>
    <w:rsid w:val="00504591"/>
    <w:rsid w:val="00526E70"/>
    <w:rsid w:val="005F15F2"/>
    <w:rsid w:val="006266A1"/>
    <w:rsid w:val="00635471"/>
    <w:rsid w:val="006C69A7"/>
    <w:rsid w:val="00705441"/>
    <w:rsid w:val="00732A49"/>
    <w:rsid w:val="007945EE"/>
    <w:rsid w:val="008875CA"/>
    <w:rsid w:val="008F04E4"/>
    <w:rsid w:val="00900870"/>
    <w:rsid w:val="00960599"/>
    <w:rsid w:val="009A1BBF"/>
    <w:rsid w:val="009C72F1"/>
    <w:rsid w:val="009D6E0A"/>
    <w:rsid w:val="00A5194F"/>
    <w:rsid w:val="00A9083E"/>
    <w:rsid w:val="00A93F2F"/>
    <w:rsid w:val="00AB719B"/>
    <w:rsid w:val="00B03D41"/>
    <w:rsid w:val="00B30127"/>
    <w:rsid w:val="00B81881"/>
    <w:rsid w:val="00B82140"/>
    <w:rsid w:val="00B87587"/>
    <w:rsid w:val="00C0350D"/>
    <w:rsid w:val="00C05633"/>
    <w:rsid w:val="00CC5CB9"/>
    <w:rsid w:val="00D2357F"/>
    <w:rsid w:val="00E35F38"/>
    <w:rsid w:val="00E52C12"/>
    <w:rsid w:val="00EC19C5"/>
    <w:rsid w:val="00F04316"/>
    <w:rsid w:val="00FC1A71"/>
    <w:rsid w:val="00FF0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E92FD"/>
  <w15:docId w15:val="{2D8F88E3-339D-4DA2-BCEB-043363F2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A10"/>
    <w:rPr>
      <w:rFonts w:ascii="Arial" w:hAnsi="Arial"/>
      <w:sz w:val="28"/>
      <w:szCs w:val="24"/>
    </w:rPr>
  </w:style>
  <w:style w:type="paragraph" w:styleId="Heading1">
    <w:name w:val="heading 1"/>
    <w:basedOn w:val="Normal"/>
    <w:next w:val="Normal"/>
    <w:link w:val="Heading1Char"/>
    <w:autoRedefine/>
    <w:uiPriority w:val="9"/>
    <w:qFormat/>
    <w:rsid w:val="00436E40"/>
    <w:pPr>
      <w:keepNext/>
      <w:keepLines/>
      <w:spacing w:before="360"/>
      <w:outlineLvl w:val="0"/>
    </w:pPr>
    <w:rPr>
      <w:rFonts w:eastAsiaTheme="majorEastAsia" w:cstheme="majorBidi"/>
      <w:b/>
      <w:bCs/>
      <w:color w:val="002060"/>
      <w:sz w:val="32"/>
      <w:szCs w:val="28"/>
      <w:u w:val="single"/>
    </w:rPr>
  </w:style>
  <w:style w:type="paragraph" w:styleId="Heading2">
    <w:name w:val="heading 2"/>
    <w:basedOn w:val="Normal"/>
    <w:next w:val="Normal"/>
    <w:link w:val="Heading2Char"/>
    <w:uiPriority w:val="9"/>
    <w:unhideWhenUsed/>
    <w:qFormat/>
    <w:rsid w:val="00E35F38"/>
    <w:pPr>
      <w:keepNext/>
      <w:keepLines/>
      <w:spacing w:before="200"/>
      <w:outlineLvl w:val="1"/>
    </w:pPr>
    <w:rPr>
      <w:rFonts w:eastAsiaTheme="majorEastAsia" w:cstheme="majorBidi"/>
      <w:b/>
      <w:bCs/>
      <w:color w:val="002060"/>
      <w:szCs w:val="26"/>
    </w:rPr>
  </w:style>
  <w:style w:type="paragraph" w:styleId="Heading3">
    <w:name w:val="heading 3"/>
    <w:basedOn w:val="Normal"/>
    <w:next w:val="Normal"/>
    <w:link w:val="Heading3Char"/>
    <w:uiPriority w:val="9"/>
    <w:unhideWhenUsed/>
    <w:qFormat/>
    <w:rsid w:val="00E35F38"/>
    <w:pPr>
      <w:keepNext/>
      <w:keepLines/>
      <w:spacing w:before="200"/>
      <w:outlineLvl w:val="2"/>
    </w:pPr>
    <w:rPr>
      <w:rFonts w:eastAsiaTheme="majorEastAsia" w:cstheme="majorBidi"/>
      <w:bCs/>
      <w:u w:val="single"/>
    </w:rPr>
  </w:style>
  <w:style w:type="paragraph" w:styleId="Heading4">
    <w:name w:val="heading 4"/>
    <w:basedOn w:val="Normal"/>
    <w:next w:val="Normal"/>
    <w:link w:val="Heading4Char"/>
    <w:uiPriority w:val="9"/>
    <w:semiHidden/>
    <w:unhideWhenUsed/>
    <w:qFormat/>
    <w:rsid w:val="00010F4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C0350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C19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19C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C19C5"/>
    <w:pPr>
      <w:tabs>
        <w:tab w:val="center" w:pos="4680"/>
        <w:tab w:val="right" w:pos="9360"/>
      </w:tabs>
    </w:pPr>
  </w:style>
  <w:style w:type="character" w:customStyle="1" w:styleId="HeaderChar">
    <w:name w:val="Header Char"/>
    <w:basedOn w:val="DefaultParagraphFont"/>
    <w:link w:val="Header"/>
    <w:uiPriority w:val="99"/>
    <w:rsid w:val="00EC19C5"/>
    <w:rPr>
      <w:sz w:val="24"/>
      <w:szCs w:val="24"/>
    </w:rPr>
  </w:style>
  <w:style w:type="paragraph" w:styleId="Footer">
    <w:name w:val="footer"/>
    <w:basedOn w:val="Normal"/>
    <w:link w:val="FooterChar"/>
    <w:uiPriority w:val="99"/>
    <w:unhideWhenUsed/>
    <w:rsid w:val="00EC19C5"/>
    <w:pPr>
      <w:tabs>
        <w:tab w:val="center" w:pos="4680"/>
        <w:tab w:val="right" w:pos="9360"/>
      </w:tabs>
    </w:pPr>
  </w:style>
  <w:style w:type="character" w:customStyle="1" w:styleId="FooterChar">
    <w:name w:val="Footer Char"/>
    <w:basedOn w:val="DefaultParagraphFont"/>
    <w:link w:val="Footer"/>
    <w:uiPriority w:val="99"/>
    <w:rsid w:val="00EC19C5"/>
    <w:rPr>
      <w:sz w:val="24"/>
      <w:szCs w:val="24"/>
    </w:rPr>
  </w:style>
  <w:style w:type="paragraph" w:customStyle="1" w:styleId="A0E349F008B644AAB6A282E0D042D17E">
    <w:name w:val="A0E349F008B644AAB6A282E0D042D17E"/>
    <w:rsid w:val="00EC19C5"/>
    <w:pPr>
      <w:spacing w:after="200" w:line="276" w:lineRule="auto"/>
    </w:pPr>
    <w:rPr>
      <w:rFonts w:asciiTheme="minorHAnsi" w:eastAsiaTheme="minorEastAsia" w:hAnsiTheme="minorHAnsi" w:cstheme="minorBidi"/>
      <w:sz w:val="22"/>
      <w:szCs w:val="22"/>
      <w:lang w:eastAsia="ja-JP"/>
    </w:rPr>
  </w:style>
  <w:style w:type="paragraph" w:styleId="BalloonText">
    <w:name w:val="Balloon Text"/>
    <w:basedOn w:val="Normal"/>
    <w:link w:val="BalloonTextChar"/>
    <w:uiPriority w:val="99"/>
    <w:semiHidden/>
    <w:unhideWhenUsed/>
    <w:rsid w:val="00EC19C5"/>
    <w:rPr>
      <w:rFonts w:ascii="Tahoma" w:hAnsi="Tahoma" w:cs="Tahoma"/>
      <w:sz w:val="16"/>
      <w:szCs w:val="16"/>
    </w:rPr>
  </w:style>
  <w:style w:type="character" w:customStyle="1" w:styleId="BalloonTextChar">
    <w:name w:val="Balloon Text Char"/>
    <w:basedOn w:val="DefaultParagraphFont"/>
    <w:link w:val="BalloonText"/>
    <w:uiPriority w:val="99"/>
    <w:semiHidden/>
    <w:rsid w:val="00EC19C5"/>
    <w:rPr>
      <w:rFonts w:ascii="Tahoma" w:hAnsi="Tahoma" w:cs="Tahoma"/>
      <w:sz w:val="16"/>
      <w:szCs w:val="16"/>
    </w:rPr>
  </w:style>
  <w:style w:type="character" w:customStyle="1" w:styleId="Heading1Char">
    <w:name w:val="Heading 1 Char"/>
    <w:basedOn w:val="DefaultParagraphFont"/>
    <w:link w:val="Heading1"/>
    <w:uiPriority w:val="9"/>
    <w:rsid w:val="00436E40"/>
    <w:rPr>
      <w:rFonts w:ascii="Arial" w:eastAsiaTheme="majorEastAsia" w:hAnsi="Arial" w:cstheme="majorBidi"/>
      <w:b/>
      <w:bCs/>
      <w:color w:val="002060"/>
      <w:sz w:val="32"/>
      <w:szCs w:val="28"/>
      <w:u w:val="single"/>
    </w:rPr>
  </w:style>
  <w:style w:type="character" w:customStyle="1" w:styleId="Heading2Char">
    <w:name w:val="Heading 2 Char"/>
    <w:basedOn w:val="DefaultParagraphFont"/>
    <w:link w:val="Heading2"/>
    <w:uiPriority w:val="9"/>
    <w:rsid w:val="00E35F38"/>
    <w:rPr>
      <w:rFonts w:ascii="Arial" w:eastAsiaTheme="majorEastAsia" w:hAnsi="Arial" w:cstheme="majorBidi"/>
      <w:b/>
      <w:bCs/>
      <w:color w:val="002060"/>
      <w:sz w:val="28"/>
      <w:szCs w:val="26"/>
    </w:rPr>
  </w:style>
  <w:style w:type="character" w:customStyle="1" w:styleId="Heading3Char">
    <w:name w:val="Heading 3 Char"/>
    <w:basedOn w:val="DefaultParagraphFont"/>
    <w:link w:val="Heading3"/>
    <w:uiPriority w:val="9"/>
    <w:rsid w:val="00E35F38"/>
    <w:rPr>
      <w:rFonts w:ascii="Arial" w:eastAsiaTheme="majorEastAsia" w:hAnsi="Arial" w:cstheme="majorBidi"/>
      <w:bCs/>
      <w:sz w:val="28"/>
      <w:szCs w:val="24"/>
      <w:u w:val="single"/>
    </w:rPr>
  </w:style>
  <w:style w:type="character" w:customStyle="1" w:styleId="Heading4Char">
    <w:name w:val="Heading 4 Char"/>
    <w:basedOn w:val="DefaultParagraphFont"/>
    <w:link w:val="Heading4"/>
    <w:uiPriority w:val="9"/>
    <w:semiHidden/>
    <w:rsid w:val="00010F49"/>
    <w:rPr>
      <w:rFonts w:asciiTheme="majorHAnsi" w:eastAsiaTheme="majorEastAsia" w:hAnsiTheme="majorHAnsi" w:cstheme="majorBidi"/>
      <w:b/>
      <w:bCs/>
      <w:i/>
      <w:iCs/>
      <w:color w:val="4F81BD" w:themeColor="accent1"/>
      <w:sz w:val="28"/>
      <w:szCs w:val="24"/>
    </w:rPr>
  </w:style>
  <w:style w:type="table" w:styleId="TableGrid">
    <w:name w:val="Table Grid"/>
    <w:basedOn w:val="TableNormal"/>
    <w:uiPriority w:val="59"/>
    <w:rsid w:val="00010F4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0F49"/>
    <w:rPr>
      <w:color w:val="0000FF" w:themeColor="hyperlink"/>
      <w:u w:val="single"/>
    </w:rPr>
  </w:style>
  <w:style w:type="paragraph" w:styleId="ListParagraph">
    <w:name w:val="List Paragraph"/>
    <w:basedOn w:val="Normal"/>
    <w:uiPriority w:val="34"/>
    <w:qFormat/>
    <w:rsid w:val="00010F49"/>
    <w:pPr>
      <w:ind w:left="720"/>
      <w:contextualSpacing/>
    </w:pPr>
    <w:rPr>
      <w:rFonts w:eastAsiaTheme="minorHAnsi"/>
      <w:szCs w:val="20"/>
    </w:rPr>
  </w:style>
  <w:style w:type="paragraph" w:styleId="ListBullet">
    <w:name w:val="List Bullet"/>
    <w:basedOn w:val="Normal"/>
    <w:uiPriority w:val="99"/>
    <w:unhideWhenUsed/>
    <w:rsid w:val="00705441"/>
    <w:pPr>
      <w:numPr>
        <w:numId w:val="4"/>
      </w:numPr>
      <w:spacing w:after="200" w:line="276" w:lineRule="auto"/>
      <w:contextualSpacing/>
    </w:pPr>
    <w:rPr>
      <w:rFonts w:asciiTheme="minorHAnsi" w:eastAsiaTheme="minorEastAsia" w:hAnsiTheme="minorHAnsi"/>
      <w:sz w:val="22"/>
      <w:szCs w:val="22"/>
    </w:rPr>
  </w:style>
  <w:style w:type="paragraph" w:styleId="PlainText">
    <w:name w:val="Plain Text"/>
    <w:basedOn w:val="Normal"/>
    <w:link w:val="PlainTextChar"/>
    <w:uiPriority w:val="99"/>
    <w:unhideWhenUsed/>
    <w:rsid w:val="0027308F"/>
    <w:rPr>
      <w:rFonts w:eastAsiaTheme="minorHAnsi" w:cstheme="minorBidi"/>
      <w:szCs w:val="21"/>
    </w:rPr>
  </w:style>
  <w:style w:type="character" w:customStyle="1" w:styleId="PlainTextChar">
    <w:name w:val="Plain Text Char"/>
    <w:basedOn w:val="DefaultParagraphFont"/>
    <w:link w:val="PlainText"/>
    <w:uiPriority w:val="99"/>
    <w:rsid w:val="0027308F"/>
    <w:rPr>
      <w:rFonts w:ascii="Arial" w:eastAsiaTheme="minorHAnsi" w:hAnsi="Arial" w:cstheme="minorBidi"/>
      <w:sz w:val="28"/>
      <w:szCs w:val="21"/>
    </w:rPr>
  </w:style>
  <w:style w:type="character" w:styleId="FollowedHyperlink">
    <w:name w:val="FollowedHyperlink"/>
    <w:basedOn w:val="DefaultParagraphFont"/>
    <w:uiPriority w:val="99"/>
    <w:semiHidden/>
    <w:unhideWhenUsed/>
    <w:rsid w:val="00C0350D"/>
    <w:rPr>
      <w:color w:val="800080" w:themeColor="followedHyperlink"/>
      <w:u w:val="single"/>
    </w:rPr>
  </w:style>
  <w:style w:type="character" w:customStyle="1" w:styleId="Heading8Char">
    <w:name w:val="Heading 8 Char"/>
    <w:basedOn w:val="DefaultParagraphFont"/>
    <w:link w:val="Heading8"/>
    <w:uiPriority w:val="9"/>
    <w:semiHidden/>
    <w:rsid w:val="00C0350D"/>
    <w:rPr>
      <w:rFonts w:asciiTheme="majorHAnsi" w:eastAsiaTheme="majorEastAsia" w:hAnsiTheme="majorHAnsi" w:cstheme="majorBidi"/>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ssa.gov/apps10/poms.nsf/lnx/045505001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2E27C-0E49-4AD3-BE7A-FEE797F1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 Dept. of Rehabilitation, Social Security Programs Section, v1.0</dc:creator>
  <cp:lastModifiedBy>Fong, Kevin C@DOR</cp:lastModifiedBy>
  <cp:revision>8</cp:revision>
  <dcterms:created xsi:type="dcterms:W3CDTF">2016-07-21T19:00:00Z</dcterms:created>
  <dcterms:modified xsi:type="dcterms:W3CDTF">2023-05-22T21:59:00Z</dcterms:modified>
</cp:coreProperties>
</file>